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A3C86" w14:textId="66DD50A1" w:rsidR="005070AD" w:rsidRDefault="00ED529B" w:rsidP="00B11318">
      <w:pPr>
        <w:spacing w:after="341"/>
        <w:ind w:left="427"/>
      </w:pP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</w:t>
      </w:r>
      <w:r w:rsidR="00B11318">
        <w:rPr>
          <w:noProof/>
        </w:rPr>
        <w:drawing>
          <wp:inline distT="0" distB="0" distL="0" distR="0" wp14:anchorId="3661A7AE" wp14:editId="7B4176E0">
            <wp:extent cx="1756713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-Mary's-Knaresborough-Logo-with-words-un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728" cy="142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0BF64" w14:textId="77777777" w:rsidR="005070AD" w:rsidRDefault="00ED529B">
      <w:pPr>
        <w:spacing w:after="7"/>
        <w:ind w:left="427"/>
      </w:pPr>
      <w:r>
        <w:rPr>
          <w:rFonts w:ascii="Arial" w:eastAsia="Arial" w:hAnsi="Arial" w:cs="Arial"/>
          <w:sz w:val="20"/>
        </w:rPr>
        <w:t xml:space="preserve"> </w:t>
      </w:r>
    </w:p>
    <w:p w14:paraId="764B2994" w14:textId="4DDA6FFB" w:rsidR="005070AD" w:rsidRPr="00ED529B" w:rsidRDefault="00ED529B">
      <w:pPr>
        <w:pStyle w:val="Heading1"/>
      </w:pPr>
      <w:r w:rsidRPr="00ED529B">
        <w:t>School performance data Summer 2023</w:t>
      </w:r>
      <w:r w:rsidRPr="00ED529B">
        <w:rPr>
          <w:b w:val="0"/>
          <w:u w:val="none" w:color="000000"/>
        </w:rPr>
        <w:t xml:space="preserve"> </w:t>
      </w:r>
    </w:p>
    <w:p w14:paraId="328EF6AD" w14:textId="39624A57" w:rsidR="00ED529B" w:rsidRPr="00ED529B" w:rsidRDefault="00ED529B">
      <w:pPr>
        <w:spacing w:after="0"/>
        <w:ind w:left="427" w:right="171"/>
        <w:rPr>
          <w:rFonts w:ascii="Arial" w:eastAsia="Arial" w:hAnsi="Arial" w:cs="Arial"/>
          <w:i/>
          <w:color w:val="333333"/>
        </w:rPr>
      </w:pPr>
      <w:r w:rsidRPr="00ED529B">
        <w:rPr>
          <w:rFonts w:ascii="Arial" w:eastAsia="Arial" w:hAnsi="Arial" w:cs="Arial"/>
          <w:i/>
          <w:color w:val="333333"/>
        </w:rPr>
        <w:t xml:space="preserve">We are proud of </w:t>
      </w:r>
      <w:r w:rsidR="00784655">
        <w:rPr>
          <w:rFonts w:ascii="Arial" w:eastAsia="Arial" w:hAnsi="Arial" w:cs="Arial"/>
          <w:i/>
          <w:color w:val="333333"/>
        </w:rPr>
        <w:t xml:space="preserve">all </w:t>
      </w:r>
      <w:r w:rsidRPr="00ED529B">
        <w:rPr>
          <w:rFonts w:ascii="Arial" w:eastAsia="Arial" w:hAnsi="Arial" w:cs="Arial"/>
          <w:i/>
          <w:color w:val="333333"/>
        </w:rPr>
        <w:t xml:space="preserve">our </w:t>
      </w:r>
      <w:r w:rsidR="00B11318">
        <w:rPr>
          <w:rFonts w:ascii="Arial" w:eastAsia="Arial" w:hAnsi="Arial" w:cs="Arial"/>
          <w:i/>
          <w:color w:val="333333"/>
        </w:rPr>
        <w:t xml:space="preserve">pupil’s </w:t>
      </w:r>
      <w:r w:rsidRPr="00ED529B">
        <w:rPr>
          <w:rFonts w:ascii="Arial" w:eastAsia="Arial" w:hAnsi="Arial" w:cs="Arial"/>
          <w:i/>
          <w:color w:val="333333"/>
        </w:rPr>
        <w:t>achievement</w:t>
      </w:r>
      <w:r w:rsidR="00B11318">
        <w:rPr>
          <w:rFonts w:ascii="Arial" w:eastAsia="Arial" w:hAnsi="Arial" w:cs="Arial"/>
          <w:i/>
          <w:color w:val="333333"/>
        </w:rPr>
        <w:t>s</w:t>
      </w:r>
      <w:r w:rsidR="00784655">
        <w:rPr>
          <w:rFonts w:ascii="Arial" w:eastAsia="Arial" w:hAnsi="Arial" w:cs="Arial"/>
          <w:i/>
          <w:color w:val="333333"/>
        </w:rPr>
        <w:t xml:space="preserve"> and progress</w:t>
      </w:r>
      <w:r w:rsidRPr="00ED529B">
        <w:rPr>
          <w:rFonts w:ascii="Arial" w:eastAsia="Arial" w:hAnsi="Arial" w:cs="Arial"/>
          <w:i/>
          <w:color w:val="333333"/>
        </w:rPr>
        <w:t xml:space="preserve"> during all the national assessments</w:t>
      </w:r>
      <w:r w:rsidR="00784655">
        <w:rPr>
          <w:rFonts w:ascii="Arial" w:eastAsia="Arial" w:hAnsi="Arial" w:cs="Arial"/>
          <w:i/>
          <w:color w:val="333333"/>
        </w:rPr>
        <w:t xml:space="preserve"> and in their time at St Mary’s</w:t>
      </w:r>
      <w:r w:rsidRPr="00ED529B">
        <w:rPr>
          <w:rFonts w:ascii="Arial" w:eastAsia="Arial" w:hAnsi="Arial" w:cs="Arial"/>
          <w:i/>
          <w:color w:val="333333"/>
        </w:rPr>
        <w:t>. Below are details of our school performance at all key stages with comparisons to the national average.</w:t>
      </w:r>
    </w:p>
    <w:p w14:paraId="002B14E0" w14:textId="77777777" w:rsidR="00ED529B" w:rsidRPr="00ED529B" w:rsidRDefault="00ED529B">
      <w:pPr>
        <w:spacing w:after="0"/>
        <w:ind w:left="427" w:right="171"/>
        <w:rPr>
          <w:rFonts w:ascii="Arial" w:eastAsia="Arial" w:hAnsi="Arial" w:cs="Arial"/>
          <w:b/>
          <w:i/>
          <w:color w:val="333333"/>
        </w:rPr>
      </w:pPr>
    </w:p>
    <w:p w14:paraId="32BC7B1D" w14:textId="6B8AEEE6" w:rsidR="00ED529B" w:rsidRPr="00ED529B" w:rsidRDefault="00ED529B" w:rsidP="00ED529B">
      <w:pPr>
        <w:spacing w:after="0"/>
        <w:ind w:left="427" w:right="171"/>
        <w:jc w:val="center"/>
        <w:rPr>
          <w:rFonts w:ascii="Arial" w:eastAsia="Arial" w:hAnsi="Arial" w:cs="Arial"/>
          <w:b/>
        </w:rPr>
      </w:pPr>
      <w:r w:rsidRPr="00ED529B">
        <w:rPr>
          <w:rFonts w:ascii="Arial" w:eastAsia="Arial" w:hAnsi="Arial" w:cs="Arial"/>
          <w:b/>
        </w:rPr>
        <w:t>EYFS</w:t>
      </w:r>
    </w:p>
    <w:p w14:paraId="3C871331" w14:textId="0FCC7BF7" w:rsidR="005070AD" w:rsidRPr="00ED529B" w:rsidRDefault="00ED529B">
      <w:pPr>
        <w:spacing w:after="0"/>
        <w:ind w:left="427" w:right="171"/>
        <w:rPr>
          <w:rFonts w:ascii="Arial" w:hAnsi="Arial" w:cs="Arial"/>
        </w:rPr>
      </w:pPr>
      <w:r w:rsidRPr="00ED529B"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450" w:type="dxa"/>
        <w:tblInd w:w="320" w:type="dxa"/>
        <w:tblCellMar>
          <w:top w:w="10" w:type="dxa"/>
          <w:left w:w="152" w:type="dxa"/>
          <w:right w:w="92" w:type="dxa"/>
        </w:tblCellMar>
        <w:tblLook w:val="04A0" w:firstRow="1" w:lastRow="0" w:firstColumn="1" w:lastColumn="0" w:noHBand="0" w:noVBand="1"/>
      </w:tblPr>
      <w:tblGrid>
        <w:gridCol w:w="2262"/>
        <w:gridCol w:w="8188"/>
      </w:tblGrid>
      <w:tr w:rsidR="005070AD" w:rsidRPr="00ED529B" w14:paraId="347C1ED6" w14:textId="77777777">
        <w:trPr>
          <w:trHeight w:val="446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2588" w14:textId="77777777" w:rsidR="005070AD" w:rsidRPr="00ED529B" w:rsidRDefault="00ED529B">
            <w:pPr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  <w:b/>
              </w:rPr>
              <w:t xml:space="preserve">Expected or above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8701" w14:textId="77777777" w:rsidR="005070AD" w:rsidRPr="00ED529B" w:rsidRDefault="00ED529B">
            <w:pPr>
              <w:ind w:right="58"/>
              <w:jc w:val="center"/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  <w:b/>
              </w:rPr>
              <w:t xml:space="preserve">EYFS GLD </w:t>
            </w:r>
          </w:p>
        </w:tc>
      </w:tr>
      <w:tr w:rsidR="005070AD" w:rsidRPr="00ED529B" w14:paraId="515028BD" w14:textId="77777777">
        <w:trPr>
          <w:trHeight w:val="439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18B7B9AF" w14:textId="77777777" w:rsidR="005070AD" w:rsidRPr="00ED529B" w:rsidRDefault="00ED529B">
            <w:pPr>
              <w:ind w:right="61"/>
              <w:jc w:val="center"/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</w:rPr>
              <w:t xml:space="preserve">St Mary’s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5B5B1C0E" w14:textId="5E8693BF" w:rsidR="005070AD" w:rsidRPr="00ED529B" w:rsidRDefault="00B11318">
            <w:pPr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76%</w:t>
            </w:r>
          </w:p>
        </w:tc>
      </w:tr>
      <w:tr w:rsidR="005070AD" w:rsidRPr="00ED529B" w14:paraId="4E4B08CA" w14:textId="77777777">
        <w:trPr>
          <w:trHeight w:val="445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CAD5" w14:textId="7DAF4888" w:rsidR="005070AD" w:rsidRPr="00ED529B" w:rsidRDefault="00ED529B">
            <w:pPr>
              <w:ind w:right="62"/>
              <w:jc w:val="center"/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</w:rPr>
              <w:t>National - 2022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FDA1" w14:textId="77777777" w:rsidR="005070AD" w:rsidRPr="00ED529B" w:rsidRDefault="00ED529B">
            <w:pPr>
              <w:ind w:right="57"/>
              <w:jc w:val="center"/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</w:rPr>
              <w:t xml:space="preserve">65% </w:t>
            </w:r>
          </w:p>
        </w:tc>
      </w:tr>
    </w:tbl>
    <w:p w14:paraId="2F9D1E9A" w14:textId="77777777" w:rsidR="005070AD" w:rsidRPr="00ED529B" w:rsidRDefault="00ED529B">
      <w:pPr>
        <w:ind w:left="427"/>
        <w:rPr>
          <w:rFonts w:ascii="Arial" w:hAnsi="Arial" w:cs="Arial"/>
        </w:rPr>
      </w:pPr>
      <w:r w:rsidRPr="00ED529B">
        <w:rPr>
          <w:rFonts w:ascii="Arial" w:eastAsia="Arial" w:hAnsi="Arial" w:cs="Arial"/>
        </w:rPr>
        <w:t xml:space="preserve"> </w:t>
      </w:r>
    </w:p>
    <w:p w14:paraId="1E6C598C" w14:textId="42245BC3" w:rsidR="00ED529B" w:rsidRDefault="00ED529B" w:rsidP="00ED529B">
      <w:pPr>
        <w:pStyle w:val="Heading2"/>
        <w:ind w:left="373" w:right="2"/>
      </w:pPr>
      <w:r w:rsidRPr="00ED529B">
        <w:t xml:space="preserve">Year 1 Phonics </w:t>
      </w:r>
    </w:p>
    <w:p w14:paraId="76CF7AC8" w14:textId="77777777" w:rsidR="00ED529B" w:rsidRPr="00ED529B" w:rsidRDefault="00ED529B" w:rsidP="00ED529B">
      <w:pPr>
        <w:spacing w:after="0"/>
      </w:pPr>
    </w:p>
    <w:tbl>
      <w:tblPr>
        <w:tblStyle w:val="TableGrid"/>
        <w:tblW w:w="10450" w:type="dxa"/>
        <w:tblInd w:w="320" w:type="dxa"/>
        <w:tblCellMar>
          <w:top w:w="10" w:type="dxa"/>
          <w:left w:w="152" w:type="dxa"/>
          <w:right w:w="92" w:type="dxa"/>
        </w:tblCellMar>
        <w:tblLook w:val="04A0" w:firstRow="1" w:lastRow="0" w:firstColumn="1" w:lastColumn="0" w:noHBand="0" w:noVBand="1"/>
      </w:tblPr>
      <w:tblGrid>
        <w:gridCol w:w="2262"/>
        <w:gridCol w:w="8188"/>
      </w:tblGrid>
      <w:tr w:rsidR="005070AD" w:rsidRPr="00ED529B" w14:paraId="1D159E5D" w14:textId="77777777">
        <w:trPr>
          <w:trHeight w:val="445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5B85" w14:textId="77777777" w:rsidR="005070AD" w:rsidRPr="00ED529B" w:rsidRDefault="00ED529B">
            <w:pPr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  <w:b/>
              </w:rPr>
              <w:t xml:space="preserve">Expected or above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A6FB" w14:textId="77777777" w:rsidR="005070AD" w:rsidRPr="00ED529B" w:rsidRDefault="00ED529B">
            <w:pPr>
              <w:ind w:right="56"/>
              <w:jc w:val="center"/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  <w:b/>
              </w:rPr>
              <w:t xml:space="preserve">Year 1 Phonics </w:t>
            </w:r>
          </w:p>
        </w:tc>
      </w:tr>
      <w:tr w:rsidR="005070AD" w:rsidRPr="00ED529B" w14:paraId="6FA71C16" w14:textId="77777777">
        <w:trPr>
          <w:trHeight w:val="439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61690B95" w14:textId="77777777" w:rsidR="005070AD" w:rsidRPr="00ED529B" w:rsidRDefault="00ED529B">
            <w:pPr>
              <w:ind w:right="61"/>
              <w:jc w:val="center"/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</w:rPr>
              <w:t xml:space="preserve">St Mary’s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15EE3D01" w14:textId="4EA8E0D4" w:rsidR="005070AD" w:rsidRPr="00ED529B" w:rsidRDefault="00B11318">
            <w:pPr>
              <w:ind w:right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87%</w:t>
            </w:r>
          </w:p>
        </w:tc>
      </w:tr>
      <w:tr w:rsidR="005070AD" w:rsidRPr="00ED529B" w14:paraId="4155B614" w14:textId="77777777">
        <w:trPr>
          <w:trHeight w:val="445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7831" w14:textId="41900FCF" w:rsidR="005070AD" w:rsidRPr="00ED529B" w:rsidRDefault="00ED529B">
            <w:pPr>
              <w:ind w:right="62"/>
              <w:jc w:val="center"/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</w:rPr>
              <w:t>National - 2022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E7E9" w14:textId="77777777" w:rsidR="005070AD" w:rsidRPr="00ED529B" w:rsidRDefault="00ED529B">
            <w:pPr>
              <w:ind w:right="57"/>
              <w:jc w:val="center"/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</w:rPr>
              <w:t xml:space="preserve">75% </w:t>
            </w:r>
          </w:p>
        </w:tc>
      </w:tr>
    </w:tbl>
    <w:p w14:paraId="1036EE57" w14:textId="77777777" w:rsidR="005070AD" w:rsidRPr="00ED529B" w:rsidRDefault="00ED529B">
      <w:pPr>
        <w:spacing w:after="158"/>
        <w:ind w:left="421"/>
        <w:jc w:val="center"/>
        <w:rPr>
          <w:rFonts w:ascii="Arial" w:hAnsi="Arial" w:cs="Arial"/>
        </w:rPr>
      </w:pPr>
      <w:r w:rsidRPr="00ED529B">
        <w:rPr>
          <w:rFonts w:ascii="Arial" w:eastAsia="Arial" w:hAnsi="Arial" w:cs="Arial"/>
        </w:rPr>
        <w:t xml:space="preserve"> </w:t>
      </w:r>
    </w:p>
    <w:p w14:paraId="534E313A" w14:textId="77777777" w:rsidR="00ED529B" w:rsidRDefault="00ED529B">
      <w:pPr>
        <w:pStyle w:val="Heading2"/>
        <w:ind w:left="373" w:right="1"/>
      </w:pPr>
      <w:r w:rsidRPr="00ED529B">
        <w:t xml:space="preserve">Key Stage 1 </w:t>
      </w:r>
    </w:p>
    <w:p w14:paraId="2662479D" w14:textId="10A6350F" w:rsidR="005070AD" w:rsidRPr="00ED529B" w:rsidRDefault="00ED529B">
      <w:pPr>
        <w:pStyle w:val="Heading2"/>
        <w:ind w:left="373" w:right="1"/>
      </w:pPr>
      <w:r w:rsidRPr="00ED529B">
        <w:t xml:space="preserve"> </w:t>
      </w:r>
    </w:p>
    <w:tbl>
      <w:tblPr>
        <w:tblStyle w:val="TableGrid"/>
        <w:tblW w:w="10450" w:type="dxa"/>
        <w:tblInd w:w="320" w:type="dxa"/>
        <w:tblCellMar>
          <w:top w:w="10" w:type="dxa"/>
          <w:left w:w="119" w:type="dxa"/>
          <w:right w:w="59" w:type="dxa"/>
        </w:tblCellMar>
        <w:tblLook w:val="04A0" w:firstRow="1" w:lastRow="0" w:firstColumn="1" w:lastColumn="0" w:noHBand="0" w:noVBand="1"/>
      </w:tblPr>
      <w:tblGrid>
        <w:gridCol w:w="2611"/>
        <w:gridCol w:w="2614"/>
        <w:gridCol w:w="2612"/>
        <w:gridCol w:w="2613"/>
      </w:tblGrid>
      <w:tr w:rsidR="005070AD" w:rsidRPr="00ED529B" w14:paraId="0E8247E4" w14:textId="77777777">
        <w:trPr>
          <w:trHeight w:val="444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1ADE" w14:textId="77777777" w:rsidR="005070AD" w:rsidRPr="00ED529B" w:rsidRDefault="00ED529B">
            <w:pPr>
              <w:ind w:right="62"/>
              <w:jc w:val="center"/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  <w:b/>
              </w:rPr>
              <w:t xml:space="preserve">Expected or above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7F68" w14:textId="77777777" w:rsidR="005070AD" w:rsidRPr="00ED529B" w:rsidRDefault="00ED529B">
            <w:pPr>
              <w:ind w:right="61"/>
              <w:jc w:val="center"/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  <w:b/>
              </w:rPr>
              <w:t xml:space="preserve">Reading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7A91" w14:textId="77777777" w:rsidR="005070AD" w:rsidRPr="00ED529B" w:rsidRDefault="00ED529B">
            <w:pPr>
              <w:ind w:right="57"/>
              <w:jc w:val="center"/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  <w:b/>
              </w:rPr>
              <w:t xml:space="preserve">Writing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F8F2" w14:textId="77777777" w:rsidR="005070AD" w:rsidRPr="00ED529B" w:rsidRDefault="00ED529B">
            <w:pPr>
              <w:ind w:right="56"/>
              <w:jc w:val="center"/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  <w:b/>
              </w:rPr>
              <w:t xml:space="preserve">Maths </w:t>
            </w:r>
          </w:p>
        </w:tc>
      </w:tr>
      <w:tr w:rsidR="005070AD" w:rsidRPr="00ED529B" w14:paraId="6CDE6B47" w14:textId="77777777">
        <w:trPr>
          <w:trHeight w:val="4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370C9F90" w14:textId="77777777" w:rsidR="005070AD" w:rsidRPr="00ED529B" w:rsidRDefault="00ED529B">
            <w:pPr>
              <w:ind w:right="58"/>
              <w:jc w:val="center"/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</w:rPr>
              <w:t xml:space="preserve">St Mary’s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7A5237D1" w14:textId="2F294DAF" w:rsidR="005070AD" w:rsidRPr="00ED529B" w:rsidRDefault="00B11318">
            <w:pPr>
              <w:ind w:right="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3F344B55" w14:textId="19909198" w:rsidR="005070AD" w:rsidRPr="00ED529B" w:rsidRDefault="00B11318">
            <w:pPr>
              <w:ind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58%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543ABFD7" w14:textId="5F5A2D63" w:rsidR="005070AD" w:rsidRPr="00ED529B" w:rsidRDefault="00B11318">
            <w:pPr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63%</w:t>
            </w:r>
          </w:p>
        </w:tc>
      </w:tr>
      <w:tr w:rsidR="005070AD" w:rsidRPr="00ED529B" w14:paraId="7B708A50" w14:textId="77777777">
        <w:trPr>
          <w:trHeight w:val="446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6A45" w14:textId="007EE7DB" w:rsidR="005070AD" w:rsidRPr="00ED529B" w:rsidRDefault="00ED529B">
            <w:pPr>
              <w:ind w:right="60"/>
              <w:jc w:val="center"/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</w:rPr>
              <w:t xml:space="preserve">National </w:t>
            </w:r>
            <w:r w:rsidR="00D60CE5" w:rsidRPr="00ED529B">
              <w:rPr>
                <w:rFonts w:ascii="Arial" w:eastAsia="Arial" w:hAnsi="Arial" w:cs="Arial"/>
              </w:rPr>
              <w:t>2022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AD0F" w14:textId="77777777" w:rsidR="005070AD" w:rsidRPr="00ED529B" w:rsidRDefault="00ED529B">
            <w:pPr>
              <w:ind w:right="62"/>
              <w:jc w:val="center"/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</w:rPr>
              <w:t xml:space="preserve">67%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0A0A" w14:textId="77777777" w:rsidR="005070AD" w:rsidRPr="00ED529B" w:rsidRDefault="00ED529B">
            <w:pPr>
              <w:ind w:right="60"/>
              <w:jc w:val="center"/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</w:rPr>
              <w:t xml:space="preserve">58%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098E" w14:textId="77777777" w:rsidR="005070AD" w:rsidRPr="00ED529B" w:rsidRDefault="00ED529B">
            <w:pPr>
              <w:ind w:right="57"/>
              <w:jc w:val="center"/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</w:rPr>
              <w:t xml:space="preserve">68% </w:t>
            </w:r>
          </w:p>
        </w:tc>
      </w:tr>
      <w:tr w:rsidR="005070AD" w:rsidRPr="00ED529B" w14:paraId="755C544D" w14:textId="77777777">
        <w:trPr>
          <w:trHeight w:val="439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27771753" w14:textId="77777777" w:rsidR="005070AD" w:rsidRPr="00ED529B" w:rsidRDefault="00ED529B">
            <w:pPr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</w:rPr>
              <w:t xml:space="preserve">St Mary’s Greater Depth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1EC69329" w14:textId="53E14857" w:rsidR="005070AD" w:rsidRPr="00ED529B" w:rsidRDefault="00B11318">
            <w:pPr>
              <w:ind w:right="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17%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430854BA" w14:textId="48BFA256" w:rsidR="005070AD" w:rsidRPr="00ED529B" w:rsidRDefault="00B11318">
            <w:pPr>
              <w:ind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31A72C54" w14:textId="10B77FBE" w:rsidR="005070AD" w:rsidRPr="00ED529B" w:rsidRDefault="00B11318">
            <w:pPr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13%</w:t>
            </w:r>
          </w:p>
        </w:tc>
      </w:tr>
      <w:tr w:rsidR="005070AD" w:rsidRPr="00ED529B" w14:paraId="4DB1EE60" w14:textId="77777777">
        <w:trPr>
          <w:trHeight w:val="445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FA3E" w14:textId="1F916F70" w:rsidR="005070AD" w:rsidRPr="00ED529B" w:rsidRDefault="00ED529B">
            <w:pPr>
              <w:ind w:right="60"/>
              <w:jc w:val="center"/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</w:rPr>
              <w:t xml:space="preserve">National </w:t>
            </w:r>
            <w:r w:rsidR="00D60CE5" w:rsidRPr="00ED529B">
              <w:rPr>
                <w:rFonts w:ascii="Arial" w:eastAsia="Arial" w:hAnsi="Arial" w:cs="Arial"/>
              </w:rPr>
              <w:t>2022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0880" w14:textId="77777777" w:rsidR="005070AD" w:rsidRPr="00ED529B" w:rsidRDefault="00ED529B">
            <w:pPr>
              <w:ind w:right="62"/>
              <w:jc w:val="center"/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</w:rPr>
              <w:t xml:space="preserve">18%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C03C" w14:textId="77777777" w:rsidR="005070AD" w:rsidRPr="00ED529B" w:rsidRDefault="00ED529B">
            <w:pPr>
              <w:ind w:right="58"/>
              <w:jc w:val="center"/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</w:rPr>
              <w:t xml:space="preserve">8%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9E4D" w14:textId="77777777" w:rsidR="005070AD" w:rsidRPr="00ED529B" w:rsidRDefault="00ED529B">
            <w:pPr>
              <w:ind w:right="57"/>
              <w:jc w:val="center"/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</w:rPr>
              <w:t xml:space="preserve">15% </w:t>
            </w:r>
          </w:p>
        </w:tc>
      </w:tr>
    </w:tbl>
    <w:p w14:paraId="3E12C333" w14:textId="77777777" w:rsidR="005070AD" w:rsidRPr="00ED529B" w:rsidRDefault="00ED529B">
      <w:pPr>
        <w:spacing w:after="158"/>
        <w:ind w:left="427"/>
        <w:rPr>
          <w:rFonts w:ascii="Arial" w:hAnsi="Arial" w:cs="Arial"/>
        </w:rPr>
      </w:pPr>
      <w:r w:rsidRPr="00ED529B">
        <w:rPr>
          <w:rFonts w:ascii="Arial" w:eastAsia="Arial" w:hAnsi="Arial" w:cs="Arial"/>
          <w:b/>
        </w:rPr>
        <w:t xml:space="preserve"> </w:t>
      </w:r>
    </w:p>
    <w:p w14:paraId="70D74BB3" w14:textId="77777777" w:rsidR="005070AD" w:rsidRPr="00ED529B" w:rsidRDefault="00ED529B">
      <w:pPr>
        <w:pStyle w:val="Heading2"/>
        <w:spacing w:after="160"/>
        <w:ind w:left="373" w:right="3"/>
      </w:pPr>
      <w:r w:rsidRPr="00ED529B">
        <w:t xml:space="preserve">Year 4 multiplication check </w:t>
      </w:r>
    </w:p>
    <w:p w14:paraId="0E7FF982" w14:textId="00E12002" w:rsidR="005070AD" w:rsidRPr="00ED529B" w:rsidRDefault="00ED529B" w:rsidP="00ED529B">
      <w:pPr>
        <w:spacing w:after="0"/>
        <w:rPr>
          <w:rFonts w:ascii="Arial" w:hAnsi="Arial" w:cs="Arial"/>
        </w:rPr>
      </w:pPr>
      <w:r w:rsidRPr="00ED529B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>*</w:t>
      </w:r>
      <w:r w:rsidRPr="00ED529B">
        <w:rPr>
          <w:rFonts w:ascii="Arial" w:eastAsia="Arial" w:hAnsi="Arial" w:cs="Arial"/>
          <w:b/>
        </w:rPr>
        <w:t>No pass mark set by DfE.  Early indication of national average 20/25</w:t>
      </w:r>
    </w:p>
    <w:tbl>
      <w:tblPr>
        <w:tblStyle w:val="TableGrid"/>
        <w:tblW w:w="10450" w:type="dxa"/>
        <w:tblInd w:w="320" w:type="dxa"/>
        <w:tblCellMar>
          <w:top w:w="10" w:type="dxa"/>
          <w:left w:w="152" w:type="dxa"/>
          <w:right w:w="92" w:type="dxa"/>
        </w:tblCellMar>
        <w:tblLook w:val="04A0" w:firstRow="1" w:lastRow="0" w:firstColumn="1" w:lastColumn="0" w:noHBand="0" w:noVBand="1"/>
      </w:tblPr>
      <w:tblGrid>
        <w:gridCol w:w="2262"/>
        <w:gridCol w:w="8188"/>
      </w:tblGrid>
      <w:tr w:rsidR="005070AD" w:rsidRPr="00ED529B" w14:paraId="2573B5BB" w14:textId="77777777">
        <w:trPr>
          <w:trHeight w:val="445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9DDB" w14:textId="77777777" w:rsidR="005070AD" w:rsidRPr="00ED529B" w:rsidRDefault="00ED529B">
            <w:pPr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  <w:b/>
              </w:rPr>
              <w:t xml:space="preserve">Expected or above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CC26" w14:textId="77777777" w:rsidR="005070AD" w:rsidRPr="00ED529B" w:rsidRDefault="00ED529B">
            <w:pPr>
              <w:ind w:right="58"/>
              <w:jc w:val="center"/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  <w:b/>
              </w:rPr>
              <w:t xml:space="preserve">Y4 MTC </w:t>
            </w:r>
          </w:p>
        </w:tc>
      </w:tr>
      <w:tr w:rsidR="005070AD" w:rsidRPr="00ED529B" w14:paraId="41724FF1" w14:textId="77777777">
        <w:trPr>
          <w:trHeight w:val="439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630F9E4C" w14:textId="77777777" w:rsidR="005070AD" w:rsidRPr="00ED529B" w:rsidRDefault="00ED529B">
            <w:pPr>
              <w:ind w:right="61"/>
              <w:jc w:val="center"/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</w:rPr>
              <w:t xml:space="preserve">St Mary’s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6938C1DE" w14:textId="08689F33" w:rsidR="005070AD" w:rsidRPr="00ED529B" w:rsidRDefault="00855A10">
            <w:pPr>
              <w:ind w:right="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pupils achi</w:t>
            </w:r>
            <w:r w:rsidR="00E965E4">
              <w:rPr>
                <w:rFonts w:ascii="Arial" w:hAnsi="Arial" w:cs="Arial"/>
              </w:rPr>
              <w:t>eved 20 or above</w:t>
            </w:r>
          </w:p>
        </w:tc>
      </w:tr>
      <w:tr w:rsidR="005070AD" w:rsidRPr="00ED529B" w14:paraId="444A9466" w14:textId="77777777">
        <w:trPr>
          <w:trHeight w:val="445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B8C6" w14:textId="77777777" w:rsidR="005070AD" w:rsidRPr="00ED529B" w:rsidRDefault="00ED529B">
            <w:pPr>
              <w:ind w:right="62"/>
              <w:jc w:val="center"/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</w:rPr>
              <w:t xml:space="preserve">National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772B" w14:textId="77777777" w:rsidR="005070AD" w:rsidRPr="00ED529B" w:rsidRDefault="00ED529B">
            <w:pPr>
              <w:ind w:right="61"/>
              <w:jc w:val="center"/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</w:rPr>
              <w:t xml:space="preserve">No data currently </w:t>
            </w:r>
          </w:p>
        </w:tc>
      </w:tr>
    </w:tbl>
    <w:p w14:paraId="7C2BD68E" w14:textId="77777777" w:rsidR="005070AD" w:rsidRPr="00ED529B" w:rsidRDefault="00ED529B">
      <w:pPr>
        <w:ind w:left="427"/>
        <w:rPr>
          <w:rFonts w:ascii="Arial" w:hAnsi="Arial" w:cs="Arial"/>
        </w:rPr>
      </w:pPr>
      <w:r w:rsidRPr="00ED529B">
        <w:rPr>
          <w:rFonts w:ascii="Arial" w:eastAsia="Arial" w:hAnsi="Arial" w:cs="Arial"/>
          <w:b/>
        </w:rPr>
        <w:t xml:space="preserve"> </w:t>
      </w:r>
    </w:p>
    <w:p w14:paraId="38D30D0F" w14:textId="77777777" w:rsidR="005070AD" w:rsidRPr="00ED529B" w:rsidRDefault="00ED529B">
      <w:pPr>
        <w:spacing w:after="158"/>
        <w:ind w:left="427"/>
        <w:rPr>
          <w:rFonts w:ascii="Arial" w:hAnsi="Arial" w:cs="Arial"/>
        </w:rPr>
      </w:pPr>
      <w:r w:rsidRPr="00ED529B">
        <w:rPr>
          <w:rFonts w:ascii="Arial" w:eastAsia="Arial" w:hAnsi="Arial" w:cs="Arial"/>
          <w:b/>
        </w:rPr>
        <w:t xml:space="preserve"> </w:t>
      </w:r>
    </w:p>
    <w:p w14:paraId="13A8BB83" w14:textId="77777777" w:rsidR="005070AD" w:rsidRPr="00ED529B" w:rsidRDefault="00ED529B">
      <w:pPr>
        <w:spacing w:after="0"/>
        <w:ind w:left="427"/>
        <w:rPr>
          <w:rFonts w:ascii="Arial" w:hAnsi="Arial" w:cs="Arial"/>
        </w:rPr>
      </w:pPr>
      <w:r w:rsidRPr="00ED529B">
        <w:rPr>
          <w:rFonts w:ascii="Arial" w:eastAsia="Arial" w:hAnsi="Arial" w:cs="Arial"/>
          <w:b/>
        </w:rPr>
        <w:t xml:space="preserve"> </w:t>
      </w:r>
    </w:p>
    <w:p w14:paraId="4B2E59DF" w14:textId="77777777" w:rsidR="005070AD" w:rsidRPr="00ED529B" w:rsidRDefault="00ED529B">
      <w:pPr>
        <w:spacing w:after="120"/>
        <w:jc w:val="right"/>
        <w:rPr>
          <w:rFonts w:ascii="Arial" w:hAnsi="Arial" w:cs="Arial"/>
        </w:rPr>
      </w:pPr>
      <w:r w:rsidRPr="00ED529B">
        <w:rPr>
          <w:rFonts w:ascii="Arial" w:eastAsia="Arial" w:hAnsi="Arial" w:cs="Arial"/>
        </w:rPr>
        <w:t xml:space="preserve"> </w:t>
      </w:r>
    </w:p>
    <w:p w14:paraId="4C3A8C37" w14:textId="77777777" w:rsidR="005070AD" w:rsidRPr="00ED529B" w:rsidRDefault="00ED529B">
      <w:pPr>
        <w:spacing w:after="158"/>
        <w:ind w:left="427"/>
        <w:rPr>
          <w:rFonts w:ascii="Arial" w:hAnsi="Arial" w:cs="Arial"/>
        </w:rPr>
      </w:pPr>
      <w:r w:rsidRPr="00ED529B">
        <w:rPr>
          <w:rFonts w:ascii="Arial" w:eastAsia="Arial" w:hAnsi="Arial" w:cs="Arial"/>
          <w:b/>
        </w:rPr>
        <w:t xml:space="preserve"> </w:t>
      </w:r>
    </w:p>
    <w:p w14:paraId="7D21E967" w14:textId="77777777" w:rsidR="005070AD" w:rsidRPr="00ED529B" w:rsidRDefault="00ED529B">
      <w:pPr>
        <w:ind w:left="427"/>
        <w:rPr>
          <w:rFonts w:ascii="Arial" w:hAnsi="Arial" w:cs="Arial"/>
        </w:rPr>
      </w:pPr>
      <w:r w:rsidRPr="00ED529B">
        <w:rPr>
          <w:rFonts w:ascii="Arial" w:eastAsia="Arial" w:hAnsi="Arial" w:cs="Arial"/>
          <w:b/>
        </w:rPr>
        <w:lastRenderedPageBreak/>
        <w:t xml:space="preserve"> </w:t>
      </w:r>
    </w:p>
    <w:p w14:paraId="190402F1" w14:textId="77777777" w:rsidR="005070AD" w:rsidRPr="00ED529B" w:rsidRDefault="00ED529B">
      <w:pPr>
        <w:pStyle w:val="Heading2"/>
        <w:ind w:left="373" w:right="1"/>
      </w:pPr>
      <w:r w:rsidRPr="00ED529B">
        <w:t xml:space="preserve">Key Stage 2  </w:t>
      </w:r>
    </w:p>
    <w:tbl>
      <w:tblPr>
        <w:tblStyle w:val="TableGrid"/>
        <w:tblW w:w="10450" w:type="dxa"/>
        <w:tblInd w:w="320" w:type="dxa"/>
        <w:tblCellMar>
          <w:top w:w="10" w:type="dxa"/>
          <w:left w:w="109" w:type="dxa"/>
          <w:right w:w="51" w:type="dxa"/>
        </w:tblCellMar>
        <w:tblLook w:val="04A0" w:firstRow="1" w:lastRow="0" w:firstColumn="1" w:lastColumn="0" w:noHBand="0" w:noVBand="1"/>
      </w:tblPr>
      <w:tblGrid>
        <w:gridCol w:w="2178"/>
        <w:gridCol w:w="2153"/>
        <w:gridCol w:w="2114"/>
        <w:gridCol w:w="1915"/>
        <w:gridCol w:w="2090"/>
      </w:tblGrid>
      <w:tr w:rsidR="005070AD" w:rsidRPr="00ED529B" w14:paraId="29DA5A3B" w14:textId="77777777">
        <w:trPr>
          <w:trHeight w:val="445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8807" w14:textId="77777777" w:rsidR="005070AD" w:rsidRPr="00ED529B" w:rsidRDefault="00ED529B">
            <w:pPr>
              <w:jc w:val="both"/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  <w:b/>
              </w:rPr>
              <w:t xml:space="preserve">Expected or above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6263" w14:textId="77777777" w:rsidR="005070AD" w:rsidRPr="00ED529B" w:rsidRDefault="00ED529B">
            <w:pPr>
              <w:ind w:right="60"/>
              <w:jc w:val="center"/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  <w:b/>
              </w:rPr>
              <w:t xml:space="preserve">Reading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54BE" w14:textId="77777777" w:rsidR="005070AD" w:rsidRPr="00ED529B" w:rsidRDefault="00ED529B">
            <w:pPr>
              <w:ind w:right="56"/>
              <w:jc w:val="center"/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  <w:b/>
              </w:rPr>
              <w:t xml:space="preserve">Writing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E2A0" w14:textId="77777777" w:rsidR="005070AD" w:rsidRPr="00ED529B" w:rsidRDefault="00ED529B">
            <w:pPr>
              <w:ind w:right="59"/>
              <w:jc w:val="center"/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  <w:b/>
              </w:rPr>
              <w:t xml:space="preserve">Maths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F9A7" w14:textId="77777777" w:rsidR="005070AD" w:rsidRPr="00ED529B" w:rsidRDefault="00ED529B">
            <w:pPr>
              <w:ind w:right="62"/>
              <w:jc w:val="center"/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  <w:b/>
              </w:rPr>
              <w:t xml:space="preserve">SPaG </w:t>
            </w:r>
          </w:p>
        </w:tc>
      </w:tr>
      <w:tr w:rsidR="005070AD" w:rsidRPr="00ED529B" w14:paraId="76444BAB" w14:textId="77777777">
        <w:trPr>
          <w:trHeight w:val="439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38C445C0" w14:textId="77777777" w:rsidR="005070AD" w:rsidRPr="00ED529B" w:rsidRDefault="00ED529B">
            <w:pPr>
              <w:ind w:right="56"/>
              <w:jc w:val="center"/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</w:rPr>
              <w:t xml:space="preserve">St Mary’s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5CB4B90E" w14:textId="43E8C2DF" w:rsidR="005070AD" w:rsidRPr="00ED529B" w:rsidRDefault="00B11318">
            <w:pPr>
              <w:ind w:right="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60%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1C2C33EA" w14:textId="309299FB" w:rsidR="005070AD" w:rsidRPr="00ED529B" w:rsidRDefault="00B11318">
            <w:pPr>
              <w:ind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59%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66D06C13" w14:textId="5F760E1B" w:rsidR="005070AD" w:rsidRPr="00ED529B" w:rsidRDefault="00B11318">
            <w:pPr>
              <w:ind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57%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64CF0D76" w14:textId="5210A3F1" w:rsidR="005070AD" w:rsidRPr="00ED529B" w:rsidRDefault="00B11318">
            <w:pPr>
              <w:ind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60%</w:t>
            </w:r>
          </w:p>
        </w:tc>
      </w:tr>
      <w:tr w:rsidR="005070AD" w:rsidRPr="00ED529B" w14:paraId="61DF029D" w14:textId="77777777">
        <w:trPr>
          <w:trHeight w:val="446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DD3A" w14:textId="0D394CE1" w:rsidR="005070AD" w:rsidRPr="00ED529B" w:rsidRDefault="00ED529B">
            <w:pPr>
              <w:ind w:right="57"/>
              <w:jc w:val="center"/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</w:rPr>
              <w:t xml:space="preserve">National </w:t>
            </w:r>
            <w:r w:rsidR="00D60CE5" w:rsidRPr="00ED529B">
              <w:rPr>
                <w:rFonts w:ascii="Arial" w:eastAsia="Arial" w:hAnsi="Arial" w:cs="Arial"/>
              </w:rPr>
              <w:t>202</w:t>
            </w:r>
            <w:r w:rsidR="009B286C">
              <w:rPr>
                <w:rFonts w:ascii="Arial" w:eastAsia="Arial" w:hAnsi="Arial" w:cs="Arial"/>
              </w:rPr>
              <w:t>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C885" w14:textId="79A70659" w:rsidR="005070AD" w:rsidRPr="00ED529B" w:rsidRDefault="00ED529B">
            <w:pPr>
              <w:ind w:right="56"/>
              <w:jc w:val="center"/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</w:rPr>
              <w:t>7</w:t>
            </w:r>
            <w:r w:rsidR="009B286C">
              <w:rPr>
                <w:rFonts w:ascii="Arial" w:eastAsia="Arial" w:hAnsi="Arial" w:cs="Arial"/>
              </w:rPr>
              <w:t>3</w:t>
            </w:r>
            <w:r w:rsidRPr="00ED529B">
              <w:rPr>
                <w:rFonts w:ascii="Arial" w:eastAsia="Arial" w:hAnsi="Arial" w:cs="Arial"/>
              </w:rPr>
              <w:t xml:space="preserve">%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76F9" w14:textId="41657B1E" w:rsidR="005070AD" w:rsidRPr="00ED529B" w:rsidRDefault="009B286C">
            <w:pPr>
              <w:ind w:right="6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71</w:t>
            </w:r>
            <w:r w:rsidR="00ED529B" w:rsidRPr="00ED529B">
              <w:rPr>
                <w:rFonts w:ascii="Arial" w:eastAsia="Arial" w:hAnsi="Arial" w:cs="Arial"/>
              </w:rPr>
              <w:t xml:space="preserve">%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1496" w14:textId="29FFADD5" w:rsidR="005070AD" w:rsidRPr="00ED529B" w:rsidRDefault="00ED529B">
            <w:pPr>
              <w:ind w:right="60"/>
              <w:jc w:val="center"/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</w:rPr>
              <w:t>7</w:t>
            </w:r>
            <w:r w:rsidR="009B286C">
              <w:rPr>
                <w:rFonts w:ascii="Arial" w:eastAsia="Arial" w:hAnsi="Arial" w:cs="Arial"/>
              </w:rPr>
              <w:t>3</w:t>
            </w:r>
            <w:r w:rsidRPr="00ED529B">
              <w:rPr>
                <w:rFonts w:ascii="Arial" w:eastAsia="Arial" w:hAnsi="Arial" w:cs="Arial"/>
              </w:rPr>
              <w:t xml:space="preserve">%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8813" w14:textId="77777777" w:rsidR="005070AD" w:rsidRPr="00ED529B" w:rsidRDefault="00ED529B">
            <w:pPr>
              <w:ind w:right="60"/>
              <w:jc w:val="center"/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</w:rPr>
              <w:t xml:space="preserve">72% </w:t>
            </w:r>
          </w:p>
        </w:tc>
      </w:tr>
      <w:tr w:rsidR="005070AD" w:rsidRPr="00ED529B" w14:paraId="7CF35310" w14:textId="77777777">
        <w:trPr>
          <w:trHeight w:val="713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43742657" w14:textId="77777777" w:rsidR="005070AD" w:rsidRPr="00ED529B" w:rsidRDefault="00ED529B">
            <w:pPr>
              <w:jc w:val="center"/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</w:rPr>
              <w:t xml:space="preserve">St Mary’s Greater Depth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59EFA142" w14:textId="7A30E160" w:rsidR="005070AD" w:rsidRPr="00ED529B" w:rsidRDefault="00B11318">
            <w:pPr>
              <w:ind w:right="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30%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590A5005" w14:textId="7F2D5312" w:rsidR="005070AD" w:rsidRPr="00ED529B" w:rsidRDefault="00B11318">
            <w:pPr>
              <w:ind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7BACB0FF" w14:textId="724ED905" w:rsidR="005070AD" w:rsidRPr="00ED529B" w:rsidRDefault="00B11318" w:rsidP="00B11318">
            <w:pPr>
              <w:ind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7%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2B0F1708" w14:textId="6D74D8FD" w:rsidR="005070AD" w:rsidRPr="00ED529B" w:rsidRDefault="00B11318">
            <w:pPr>
              <w:ind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</w:t>
            </w:r>
          </w:p>
        </w:tc>
      </w:tr>
      <w:tr w:rsidR="005070AD" w:rsidRPr="00ED529B" w14:paraId="1900DE02" w14:textId="77777777">
        <w:trPr>
          <w:trHeight w:val="445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7FC1" w14:textId="503FE551" w:rsidR="005070AD" w:rsidRPr="00ED529B" w:rsidRDefault="00ED529B">
            <w:pPr>
              <w:ind w:right="57"/>
              <w:jc w:val="center"/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</w:rPr>
              <w:t xml:space="preserve">National  </w:t>
            </w:r>
            <w:r w:rsidR="00D60CE5" w:rsidRPr="00ED529B">
              <w:rPr>
                <w:rFonts w:ascii="Arial" w:eastAsia="Arial" w:hAnsi="Arial" w:cs="Arial"/>
              </w:rPr>
              <w:t>2022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DB2A" w14:textId="77777777" w:rsidR="005070AD" w:rsidRPr="00ED529B" w:rsidRDefault="00ED529B">
            <w:pPr>
              <w:ind w:right="56"/>
              <w:jc w:val="center"/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</w:rPr>
              <w:t xml:space="preserve">28%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C21B" w14:textId="77777777" w:rsidR="005070AD" w:rsidRPr="00ED529B" w:rsidRDefault="00ED529B">
            <w:pPr>
              <w:ind w:right="60"/>
              <w:jc w:val="center"/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</w:rPr>
              <w:t xml:space="preserve">13%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7C93" w14:textId="77777777" w:rsidR="005070AD" w:rsidRPr="00ED529B" w:rsidRDefault="00ED529B">
            <w:pPr>
              <w:ind w:right="60"/>
              <w:jc w:val="center"/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</w:rPr>
              <w:t xml:space="preserve">22%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C30F" w14:textId="77777777" w:rsidR="005070AD" w:rsidRPr="00ED529B" w:rsidRDefault="00ED529B">
            <w:pPr>
              <w:ind w:right="60"/>
              <w:jc w:val="center"/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</w:rPr>
              <w:t xml:space="preserve">28% </w:t>
            </w:r>
          </w:p>
        </w:tc>
      </w:tr>
    </w:tbl>
    <w:p w14:paraId="6CD78288" w14:textId="7C5C6FC8" w:rsidR="005070AD" w:rsidRPr="00ED529B" w:rsidRDefault="005070AD" w:rsidP="00CB5411">
      <w:pPr>
        <w:pStyle w:val="Heading2"/>
        <w:ind w:left="0" w:right="4" w:firstLine="0"/>
        <w:jc w:val="left"/>
      </w:pPr>
    </w:p>
    <w:p w14:paraId="22B782BC" w14:textId="77777777" w:rsidR="005070AD" w:rsidRPr="00ED529B" w:rsidRDefault="00ED529B">
      <w:pPr>
        <w:pStyle w:val="Heading2"/>
        <w:ind w:left="373" w:right="4"/>
      </w:pPr>
      <w:r w:rsidRPr="00ED529B">
        <w:t xml:space="preserve">Average KS2 Scaled Scores </w:t>
      </w:r>
    </w:p>
    <w:p w14:paraId="61B6973D" w14:textId="0CFDEA45" w:rsidR="005070AD" w:rsidRPr="00630E0F" w:rsidRDefault="00ED529B" w:rsidP="00630E0F">
      <w:pPr>
        <w:spacing w:after="0"/>
        <w:ind w:left="427"/>
        <w:rPr>
          <w:rFonts w:ascii="Arial" w:hAnsi="Arial" w:cs="Arial"/>
        </w:rPr>
      </w:pPr>
      <w:r w:rsidRPr="00ED529B">
        <w:rPr>
          <w:rFonts w:ascii="Arial" w:eastAsia="Arial" w:hAnsi="Arial" w:cs="Arial"/>
          <w:b/>
        </w:rPr>
        <w:t xml:space="preserve"> </w:t>
      </w:r>
      <w:r w:rsidRPr="00ED529B">
        <w:rPr>
          <w:rFonts w:ascii="Arial" w:eastAsia="Arial" w:hAnsi="Arial" w:cs="Arial"/>
        </w:rPr>
        <w:t xml:space="preserve"> </w:t>
      </w:r>
    </w:p>
    <w:tbl>
      <w:tblPr>
        <w:tblStyle w:val="TableGrid0"/>
        <w:tblW w:w="0" w:type="auto"/>
        <w:tblInd w:w="427" w:type="dxa"/>
        <w:tblLook w:val="04A0" w:firstRow="1" w:lastRow="0" w:firstColumn="1" w:lastColumn="0" w:noHBand="0" w:noVBand="1"/>
      </w:tblPr>
      <w:tblGrid>
        <w:gridCol w:w="2120"/>
        <w:gridCol w:w="3544"/>
        <w:gridCol w:w="4677"/>
      </w:tblGrid>
      <w:tr w:rsidR="00630E0F" w14:paraId="62B42758" w14:textId="77777777" w:rsidTr="00630E0F">
        <w:tc>
          <w:tcPr>
            <w:tcW w:w="2120" w:type="dxa"/>
          </w:tcPr>
          <w:p w14:paraId="3A3AA9B5" w14:textId="77777777" w:rsidR="00630E0F" w:rsidRDefault="00630E0F" w:rsidP="00630E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9CC2E5" w:themeFill="accent5" w:themeFillTint="99"/>
          </w:tcPr>
          <w:p w14:paraId="778D6A34" w14:textId="6639C1E2" w:rsidR="00630E0F" w:rsidRPr="00630E0F" w:rsidRDefault="00630E0F" w:rsidP="00630E0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0E0F">
              <w:rPr>
                <w:rFonts w:ascii="Arial" w:hAnsi="Arial" w:cs="Arial"/>
                <w:b/>
                <w:bCs/>
              </w:rPr>
              <w:t>School</w:t>
            </w:r>
          </w:p>
        </w:tc>
        <w:tc>
          <w:tcPr>
            <w:tcW w:w="4677" w:type="dxa"/>
          </w:tcPr>
          <w:p w14:paraId="07304AD9" w14:textId="02DFBE08" w:rsidR="00630E0F" w:rsidRPr="00630E0F" w:rsidRDefault="00630E0F" w:rsidP="00630E0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0E0F">
              <w:rPr>
                <w:rFonts w:ascii="Arial" w:hAnsi="Arial" w:cs="Arial"/>
                <w:b/>
                <w:bCs/>
              </w:rPr>
              <w:t>National</w:t>
            </w:r>
          </w:p>
        </w:tc>
      </w:tr>
      <w:tr w:rsidR="00630E0F" w14:paraId="06A5F48E" w14:textId="77777777" w:rsidTr="00630E0F">
        <w:tc>
          <w:tcPr>
            <w:tcW w:w="2120" w:type="dxa"/>
          </w:tcPr>
          <w:p w14:paraId="345643DF" w14:textId="72A63F13" w:rsidR="00630E0F" w:rsidRPr="00630E0F" w:rsidRDefault="00630E0F" w:rsidP="00630E0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0E0F">
              <w:rPr>
                <w:rFonts w:ascii="Arial" w:hAnsi="Arial" w:cs="Arial"/>
                <w:b/>
                <w:bCs/>
              </w:rPr>
              <w:t>Reading</w:t>
            </w:r>
          </w:p>
        </w:tc>
        <w:tc>
          <w:tcPr>
            <w:tcW w:w="3544" w:type="dxa"/>
          </w:tcPr>
          <w:p w14:paraId="6C7680E0" w14:textId="0FD25922" w:rsidR="00630E0F" w:rsidRDefault="00D60478" w:rsidP="00630E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103.4</w:t>
            </w:r>
          </w:p>
        </w:tc>
        <w:tc>
          <w:tcPr>
            <w:tcW w:w="4677" w:type="dxa"/>
          </w:tcPr>
          <w:p w14:paraId="193AFA6D" w14:textId="370588CE" w:rsidR="00630E0F" w:rsidRDefault="00630E0F" w:rsidP="00630E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</w:tr>
      <w:tr w:rsidR="00630E0F" w14:paraId="4A5ED7AB" w14:textId="77777777" w:rsidTr="00630E0F">
        <w:tc>
          <w:tcPr>
            <w:tcW w:w="2120" w:type="dxa"/>
          </w:tcPr>
          <w:p w14:paraId="27A38D9B" w14:textId="235863A5" w:rsidR="00630E0F" w:rsidRPr="00630E0F" w:rsidRDefault="00630E0F" w:rsidP="00630E0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0E0F">
              <w:rPr>
                <w:rFonts w:ascii="Arial" w:hAnsi="Arial" w:cs="Arial"/>
                <w:b/>
                <w:bCs/>
              </w:rPr>
              <w:t>Maths</w:t>
            </w:r>
          </w:p>
        </w:tc>
        <w:tc>
          <w:tcPr>
            <w:tcW w:w="3544" w:type="dxa"/>
          </w:tcPr>
          <w:p w14:paraId="487C389E" w14:textId="338409BF" w:rsidR="00630E0F" w:rsidRDefault="00A15AE5" w:rsidP="00630E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100.7</w:t>
            </w:r>
          </w:p>
        </w:tc>
        <w:tc>
          <w:tcPr>
            <w:tcW w:w="4677" w:type="dxa"/>
          </w:tcPr>
          <w:p w14:paraId="6094DFE9" w14:textId="479F3CE3" w:rsidR="00630E0F" w:rsidRDefault="00630E0F" w:rsidP="00630E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</w:tr>
      <w:tr w:rsidR="00630E0F" w14:paraId="5F2DC6A3" w14:textId="77777777" w:rsidTr="00630E0F">
        <w:tc>
          <w:tcPr>
            <w:tcW w:w="2120" w:type="dxa"/>
          </w:tcPr>
          <w:p w14:paraId="338495C9" w14:textId="0C1FA43D" w:rsidR="00630E0F" w:rsidRPr="00630E0F" w:rsidRDefault="00A15AE5" w:rsidP="00630E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GPS</w:t>
            </w:r>
          </w:p>
        </w:tc>
        <w:tc>
          <w:tcPr>
            <w:tcW w:w="3544" w:type="dxa"/>
          </w:tcPr>
          <w:p w14:paraId="0073119F" w14:textId="38B31419" w:rsidR="00630E0F" w:rsidRDefault="00A15AE5" w:rsidP="00630E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101.4</w:t>
            </w:r>
          </w:p>
        </w:tc>
        <w:tc>
          <w:tcPr>
            <w:tcW w:w="4677" w:type="dxa"/>
          </w:tcPr>
          <w:p w14:paraId="5977ACD1" w14:textId="2465D900" w:rsidR="00630E0F" w:rsidRDefault="00630E0F" w:rsidP="00630E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</w:tr>
    </w:tbl>
    <w:p w14:paraId="5727E6B8" w14:textId="77777777" w:rsidR="00630E0F" w:rsidRPr="00ED529B" w:rsidRDefault="00630E0F">
      <w:pPr>
        <w:ind w:left="427"/>
        <w:rPr>
          <w:rFonts w:ascii="Arial" w:hAnsi="Arial" w:cs="Arial"/>
        </w:rPr>
      </w:pPr>
    </w:p>
    <w:p w14:paraId="34D4FB05" w14:textId="77777777" w:rsidR="005070AD" w:rsidRPr="00ED529B" w:rsidRDefault="00ED529B">
      <w:pPr>
        <w:pStyle w:val="Heading2"/>
        <w:ind w:left="373" w:right="5"/>
      </w:pPr>
      <w:r w:rsidRPr="00ED529B">
        <w:t xml:space="preserve">Science KS2  </w:t>
      </w:r>
    </w:p>
    <w:tbl>
      <w:tblPr>
        <w:tblStyle w:val="TableGrid"/>
        <w:tblW w:w="10450" w:type="dxa"/>
        <w:tblInd w:w="320" w:type="dxa"/>
        <w:tblCellMar>
          <w:top w:w="1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25"/>
        <w:gridCol w:w="5225"/>
      </w:tblGrid>
      <w:tr w:rsidR="005070AD" w:rsidRPr="00ED529B" w14:paraId="5C33B4A8" w14:textId="77777777">
        <w:trPr>
          <w:trHeight w:val="445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ABF5" w14:textId="77777777" w:rsidR="005070AD" w:rsidRPr="00ED529B" w:rsidRDefault="00ED529B">
            <w:pPr>
              <w:ind w:left="1"/>
              <w:jc w:val="center"/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  <w:b/>
              </w:rPr>
              <w:t xml:space="preserve">Expected or above 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B83C" w14:textId="77777777" w:rsidR="005070AD" w:rsidRPr="00ED529B" w:rsidRDefault="00ED529B">
            <w:pPr>
              <w:ind w:left="2"/>
              <w:jc w:val="center"/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  <w:b/>
              </w:rPr>
              <w:t xml:space="preserve">Science </w:t>
            </w:r>
          </w:p>
        </w:tc>
      </w:tr>
      <w:tr w:rsidR="005070AD" w:rsidRPr="00ED529B" w14:paraId="2545D327" w14:textId="77777777">
        <w:trPr>
          <w:trHeight w:val="439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46A6695F" w14:textId="77777777" w:rsidR="005070AD" w:rsidRPr="00ED529B" w:rsidRDefault="00ED529B">
            <w:pPr>
              <w:ind w:right="1"/>
              <w:jc w:val="center"/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</w:rPr>
              <w:t xml:space="preserve">St Mary’s 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79254144" w14:textId="2C574B4B" w:rsidR="005070AD" w:rsidRPr="00ED529B" w:rsidRDefault="00B11318">
            <w:pPr>
              <w:ind w:left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83%</w:t>
            </w:r>
          </w:p>
        </w:tc>
      </w:tr>
      <w:tr w:rsidR="005070AD" w:rsidRPr="00ED529B" w14:paraId="04C3D939" w14:textId="77777777">
        <w:trPr>
          <w:trHeight w:val="445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45FB" w14:textId="3E4D2E4D" w:rsidR="005070AD" w:rsidRPr="00ED529B" w:rsidRDefault="00ED529B">
            <w:pPr>
              <w:ind w:right="3"/>
              <w:jc w:val="center"/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</w:rPr>
              <w:t xml:space="preserve">National </w:t>
            </w:r>
            <w:r w:rsidR="00D60CE5" w:rsidRPr="00ED529B">
              <w:rPr>
                <w:rFonts w:ascii="Arial" w:eastAsia="Arial" w:hAnsi="Arial" w:cs="Arial"/>
              </w:rPr>
              <w:t>2022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543F" w14:textId="77777777" w:rsidR="005070AD" w:rsidRPr="00ED529B" w:rsidRDefault="00ED529B">
            <w:pPr>
              <w:ind w:left="3"/>
              <w:jc w:val="center"/>
              <w:rPr>
                <w:rFonts w:ascii="Arial" w:hAnsi="Arial" w:cs="Arial"/>
              </w:rPr>
            </w:pPr>
            <w:r w:rsidRPr="00ED529B">
              <w:rPr>
                <w:rFonts w:ascii="Arial" w:eastAsia="Arial" w:hAnsi="Arial" w:cs="Arial"/>
              </w:rPr>
              <w:t xml:space="preserve">79% </w:t>
            </w:r>
          </w:p>
        </w:tc>
      </w:tr>
    </w:tbl>
    <w:p w14:paraId="2E888502" w14:textId="662F9AB4" w:rsidR="005070AD" w:rsidRDefault="005070AD" w:rsidP="00CB5411">
      <w:pPr>
        <w:spacing w:after="0"/>
      </w:pPr>
    </w:p>
    <w:p w14:paraId="46637817" w14:textId="77777777" w:rsidR="005070AD" w:rsidRDefault="00ED529B">
      <w:pPr>
        <w:pStyle w:val="Heading2"/>
        <w:ind w:left="373"/>
      </w:pPr>
      <w:r>
        <w:t xml:space="preserve">Reading, Writing and Maths combined  </w:t>
      </w:r>
    </w:p>
    <w:tbl>
      <w:tblPr>
        <w:tblStyle w:val="TableGrid"/>
        <w:tblW w:w="10627" w:type="dxa"/>
        <w:tblInd w:w="320" w:type="dxa"/>
        <w:tblCellMar>
          <w:top w:w="1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42"/>
        <w:gridCol w:w="3543"/>
        <w:gridCol w:w="3542"/>
      </w:tblGrid>
      <w:tr w:rsidR="005070AD" w14:paraId="1DAA26AA" w14:textId="77777777">
        <w:trPr>
          <w:trHeight w:val="71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E671" w14:textId="77777777" w:rsidR="005070AD" w:rsidRDefault="00ED529B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Reading, writing, maths combined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5FF5" w14:textId="77777777" w:rsidR="005070AD" w:rsidRDefault="00ED529B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KS1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0ADA" w14:textId="77777777" w:rsidR="005070AD" w:rsidRDefault="00ED529B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KS2 </w:t>
            </w:r>
          </w:p>
        </w:tc>
      </w:tr>
      <w:tr w:rsidR="005070AD" w14:paraId="6A6E9733" w14:textId="77777777">
        <w:trPr>
          <w:trHeight w:val="440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2399F697" w14:textId="77777777" w:rsidR="005070AD" w:rsidRDefault="00ED529B">
            <w:pPr>
              <w:ind w:right="2"/>
              <w:jc w:val="center"/>
            </w:pPr>
            <w:r>
              <w:rPr>
                <w:rFonts w:ascii="Arial" w:eastAsia="Arial" w:hAnsi="Arial" w:cs="Arial"/>
              </w:rPr>
              <w:t xml:space="preserve">St Mary’s expected or above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6495C67C" w14:textId="12A62175" w:rsidR="005070AD" w:rsidRPr="00060185" w:rsidRDefault="00B11318">
            <w:pPr>
              <w:ind w:righ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46%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60EC75C3" w14:textId="7DEEA5B9" w:rsidR="005070AD" w:rsidRPr="00060185" w:rsidRDefault="00B11318">
            <w:pPr>
              <w:ind w:lef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43%</w:t>
            </w:r>
          </w:p>
        </w:tc>
      </w:tr>
      <w:tr w:rsidR="005070AD" w14:paraId="564D6C18" w14:textId="77777777">
        <w:trPr>
          <w:trHeight w:val="446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65CE" w14:textId="41A1DE04" w:rsidR="005070AD" w:rsidRDefault="00ED529B">
            <w:pPr>
              <w:ind w:right="2"/>
              <w:jc w:val="center"/>
            </w:pPr>
            <w:r>
              <w:rPr>
                <w:rFonts w:ascii="Arial" w:eastAsia="Arial" w:hAnsi="Arial" w:cs="Arial"/>
              </w:rPr>
              <w:t xml:space="preserve">National expected or above </w:t>
            </w:r>
            <w:r w:rsidR="00D60CE5" w:rsidRPr="00ED529B">
              <w:rPr>
                <w:rFonts w:ascii="Arial" w:eastAsia="Arial" w:hAnsi="Arial" w:cs="Arial"/>
              </w:rPr>
              <w:t>202</w:t>
            </w:r>
            <w:r w:rsidR="009B286C">
              <w:rPr>
                <w:rFonts w:ascii="Arial" w:eastAsia="Arial" w:hAnsi="Arial" w:cs="Arial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675A" w14:textId="77777777" w:rsidR="005070AD" w:rsidRPr="00060185" w:rsidRDefault="00ED529B">
            <w:pPr>
              <w:ind w:right="1"/>
              <w:jc w:val="center"/>
              <w:rPr>
                <w:rFonts w:ascii="Arial" w:hAnsi="Arial" w:cs="Arial"/>
              </w:rPr>
            </w:pPr>
            <w:r w:rsidRPr="00060185">
              <w:rPr>
                <w:rFonts w:ascii="Arial" w:eastAsia="Arial" w:hAnsi="Arial" w:cs="Arial"/>
              </w:rPr>
              <w:t xml:space="preserve">65%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C787" w14:textId="77777777" w:rsidR="005070AD" w:rsidRPr="00060185" w:rsidRDefault="00ED529B">
            <w:pPr>
              <w:ind w:left="1"/>
              <w:jc w:val="center"/>
              <w:rPr>
                <w:rFonts w:ascii="Arial" w:hAnsi="Arial" w:cs="Arial"/>
              </w:rPr>
            </w:pPr>
            <w:r w:rsidRPr="00060185">
              <w:rPr>
                <w:rFonts w:ascii="Arial" w:eastAsia="Arial" w:hAnsi="Arial" w:cs="Arial"/>
              </w:rPr>
              <w:t xml:space="preserve">59% </w:t>
            </w:r>
          </w:p>
        </w:tc>
      </w:tr>
      <w:tr w:rsidR="005070AD" w14:paraId="0CBCA55B" w14:textId="77777777">
        <w:trPr>
          <w:trHeight w:val="442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7338BDB1" w14:textId="77777777" w:rsidR="005070AD" w:rsidRDefault="00ED529B">
            <w:pPr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St Mary’s Greater Depth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62D21B7F" w14:textId="5B04CF22" w:rsidR="005070AD" w:rsidRPr="00060185" w:rsidRDefault="00B11318">
            <w:pPr>
              <w:ind w:righ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4%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3175BC11" w14:textId="307CE53C" w:rsidR="005070AD" w:rsidRPr="00060185" w:rsidRDefault="00B11318">
            <w:pPr>
              <w:ind w:lef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  <w:tr w:rsidR="005070AD" w14:paraId="3453129B" w14:textId="77777777">
        <w:trPr>
          <w:trHeight w:val="443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4AFB" w14:textId="4B73D946" w:rsidR="005070AD" w:rsidRDefault="00ED529B">
            <w:pPr>
              <w:ind w:right="2"/>
              <w:jc w:val="center"/>
            </w:pPr>
            <w:r>
              <w:rPr>
                <w:rFonts w:ascii="Arial" w:eastAsia="Arial" w:hAnsi="Arial" w:cs="Arial"/>
              </w:rPr>
              <w:t xml:space="preserve">National Greater Depth </w:t>
            </w:r>
            <w:r w:rsidR="00D60CE5" w:rsidRPr="00ED529B">
              <w:rPr>
                <w:rFonts w:ascii="Arial" w:eastAsia="Arial" w:hAnsi="Arial" w:cs="Arial"/>
              </w:rPr>
              <w:t>2022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5E7E" w14:textId="77777777" w:rsidR="005070AD" w:rsidRPr="00060185" w:rsidRDefault="00ED529B">
            <w:pPr>
              <w:ind w:right="1"/>
              <w:jc w:val="center"/>
              <w:rPr>
                <w:rFonts w:ascii="Arial" w:hAnsi="Arial" w:cs="Arial"/>
              </w:rPr>
            </w:pPr>
            <w:r w:rsidRPr="00060185">
              <w:rPr>
                <w:rFonts w:ascii="Arial" w:eastAsia="Arial" w:hAnsi="Arial" w:cs="Arial"/>
              </w:rPr>
              <w:t xml:space="preserve">11%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E369" w14:textId="77777777" w:rsidR="005070AD" w:rsidRPr="00060185" w:rsidRDefault="00ED529B">
            <w:pPr>
              <w:ind w:left="3"/>
              <w:jc w:val="center"/>
              <w:rPr>
                <w:rFonts w:ascii="Arial" w:hAnsi="Arial" w:cs="Arial"/>
              </w:rPr>
            </w:pPr>
            <w:r w:rsidRPr="00060185">
              <w:rPr>
                <w:rFonts w:ascii="Arial" w:eastAsia="Arial" w:hAnsi="Arial" w:cs="Arial"/>
              </w:rPr>
              <w:t xml:space="preserve">7% </w:t>
            </w:r>
          </w:p>
        </w:tc>
      </w:tr>
    </w:tbl>
    <w:p w14:paraId="71FD8784" w14:textId="77777777" w:rsidR="005070AD" w:rsidRDefault="00ED529B">
      <w:pPr>
        <w:spacing w:after="280"/>
        <w:ind w:left="427"/>
      </w:pPr>
      <w:r>
        <w:rPr>
          <w:rFonts w:ascii="Arial" w:eastAsia="Arial" w:hAnsi="Arial" w:cs="Arial"/>
        </w:rPr>
        <w:t xml:space="preserve"> </w:t>
      </w:r>
    </w:p>
    <w:p w14:paraId="2644D089" w14:textId="711F09F0" w:rsidR="005070AD" w:rsidRDefault="00ED529B">
      <w:pPr>
        <w:spacing w:after="281" w:line="238" w:lineRule="auto"/>
        <w:ind w:left="427"/>
      </w:pPr>
      <w:r>
        <w:rPr>
          <w:rFonts w:ascii="Arial" w:eastAsia="Arial" w:hAnsi="Arial" w:cs="Arial"/>
        </w:rPr>
        <w:t xml:space="preserve">There were no formal assessments in 2019-20 and 2020-21 due to Covid-19. </w:t>
      </w:r>
    </w:p>
    <w:p w14:paraId="3900DBBB" w14:textId="77777777" w:rsidR="005070AD" w:rsidRDefault="00ED529B">
      <w:pPr>
        <w:spacing w:after="279" w:line="240" w:lineRule="auto"/>
        <w:ind w:left="427" w:right="12"/>
      </w:pPr>
      <w:r>
        <w:rPr>
          <w:rFonts w:ascii="Arial" w:eastAsia="Arial" w:hAnsi="Arial" w:cs="Arial"/>
        </w:rPr>
        <w:t>TO COMPARE US TO OTHER SCHOOLS, please follow the links: Bishop Wheeler Catholic Academy Trust -</w:t>
      </w:r>
      <w:hyperlink r:id="rId5">
        <w:r>
          <w:rPr>
            <w:rFonts w:ascii="Arial" w:eastAsia="Arial" w:hAnsi="Arial" w:cs="Arial"/>
          </w:rPr>
          <w:t xml:space="preserve"> </w:t>
        </w:r>
      </w:hyperlink>
      <w:hyperlink r:id="rId6">
        <w:r>
          <w:rPr>
            <w:rFonts w:ascii="Arial" w:eastAsia="Arial" w:hAnsi="Arial" w:cs="Arial"/>
            <w:color w:val="0000FF"/>
            <w:u w:val="single" w:color="0000FF"/>
          </w:rPr>
          <w:t>https://www.compare</w:t>
        </w:r>
      </w:hyperlink>
      <w:hyperlink r:id="rId7">
        <w:r>
          <w:rPr>
            <w:rFonts w:ascii="Arial" w:eastAsia="Arial" w:hAnsi="Arial" w:cs="Arial"/>
            <w:color w:val="0000FF"/>
            <w:u w:val="single" w:color="0000FF"/>
          </w:rPr>
          <w:t>-</w:t>
        </w:r>
      </w:hyperlink>
      <w:hyperlink r:id="rId8">
        <w:r>
          <w:rPr>
            <w:rFonts w:ascii="Arial" w:eastAsia="Arial" w:hAnsi="Arial" w:cs="Arial"/>
            <w:color w:val="0000FF"/>
            <w:u w:val="single" w:color="0000FF"/>
          </w:rPr>
          <w:t>school</w:t>
        </w:r>
      </w:hyperlink>
      <w:hyperlink r:id="rId9">
        <w:r>
          <w:rPr>
            <w:rFonts w:ascii="Arial" w:eastAsia="Arial" w:hAnsi="Arial" w:cs="Arial"/>
            <w:color w:val="0000FF"/>
            <w:u w:val="single" w:color="0000FF"/>
          </w:rPr>
          <w:t>-</w:t>
        </w:r>
      </w:hyperlink>
      <w:hyperlink r:id="rId10">
        <w:r>
          <w:rPr>
            <w:rFonts w:ascii="Arial" w:eastAsia="Arial" w:hAnsi="Arial" w:cs="Arial"/>
            <w:color w:val="0000FF"/>
            <w:u w:val="single" w:color="0000FF"/>
          </w:rPr>
          <w:t>performance.service.gov.uk/multi</w:t>
        </w:r>
      </w:hyperlink>
      <w:hyperlink r:id="rId11">
        <w:r>
          <w:rPr>
            <w:rFonts w:ascii="Arial" w:eastAsia="Arial" w:hAnsi="Arial" w:cs="Arial"/>
            <w:color w:val="0000FF"/>
            <w:u w:val="single" w:color="0000FF"/>
          </w:rPr>
          <w:t>-</w:t>
        </w:r>
      </w:hyperlink>
      <w:hyperlink r:id="rId12">
        <w:r>
          <w:rPr>
            <w:rFonts w:ascii="Arial" w:eastAsia="Arial" w:hAnsi="Arial" w:cs="Arial"/>
            <w:color w:val="0000FF"/>
            <w:u w:val="single" w:color="0000FF"/>
          </w:rPr>
          <w:t>academy</w:t>
        </w:r>
      </w:hyperlink>
      <w:hyperlink r:id="rId13">
        <w:r>
          <w:rPr>
            <w:rFonts w:ascii="Arial" w:eastAsia="Arial" w:hAnsi="Arial" w:cs="Arial"/>
            <w:color w:val="0000FF"/>
            <w:u w:val="single" w:color="0000FF"/>
          </w:rPr>
          <w:t>-</w:t>
        </w:r>
      </w:hyperlink>
      <w:hyperlink r:id="rId14">
        <w:r>
          <w:rPr>
            <w:rFonts w:ascii="Arial" w:eastAsia="Arial" w:hAnsi="Arial" w:cs="Arial"/>
            <w:color w:val="0000FF"/>
            <w:u w:val="single" w:color="0000FF"/>
          </w:rPr>
          <w:t>trust/2342/the</w:t>
        </w:r>
      </w:hyperlink>
      <w:hyperlink r:id="rId15">
        <w:r>
          <w:rPr>
            <w:rFonts w:ascii="Arial" w:eastAsia="Arial" w:hAnsi="Arial" w:cs="Arial"/>
            <w:color w:val="0000FF"/>
            <w:u w:val="single" w:color="0000FF"/>
          </w:rPr>
          <w:t>-</w:t>
        </w:r>
      </w:hyperlink>
      <w:hyperlink r:id="rId16">
        <w:r>
          <w:rPr>
            <w:rFonts w:ascii="Arial" w:eastAsia="Arial" w:hAnsi="Arial" w:cs="Arial"/>
            <w:color w:val="0000FF"/>
            <w:u w:val="single" w:color="0000FF"/>
          </w:rPr>
          <w:t>bishop</w:t>
        </w:r>
      </w:hyperlink>
      <w:hyperlink r:id="rId17"/>
      <w:hyperlink r:id="rId18">
        <w:r>
          <w:rPr>
            <w:rFonts w:ascii="Arial" w:eastAsia="Arial" w:hAnsi="Arial" w:cs="Arial"/>
            <w:color w:val="0000FF"/>
            <w:u w:val="single" w:color="0000FF"/>
          </w:rPr>
          <w:t>wheeler</w:t>
        </w:r>
      </w:hyperlink>
      <w:hyperlink r:id="rId19">
        <w:r>
          <w:rPr>
            <w:rFonts w:ascii="Arial" w:eastAsia="Arial" w:hAnsi="Arial" w:cs="Arial"/>
            <w:color w:val="0000FF"/>
            <w:u w:val="single" w:color="0000FF"/>
          </w:rPr>
          <w:t>-</w:t>
        </w:r>
      </w:hyperlink>
      <w:hyperlink r:id="rId20">
        <w:r>
          <w:rPr>
            <w:rFonts w:ascii="Arial" w:eastAsia="Arial" w:hAnsi="Arial" w:cs="Arial"/>
            <w:color w:val="0000FF"/>
            <w:u w:val="single" w:color="0000FF"/>
          </w:rPr>
          <w:t>catholic</w:t>
        </w:r>
      </w:hyperlink>
      <w:hyperlink r:id="rId21">
        <w:r>
          <w:rPr>
            <w:rFonts w:ascii="Arial" w:eastAsia="Arial" w:hAnsi="Arial" w:cs="Arial"/>
            <w:color w:val="0000FF"/>
            <w:u w:val="single" w:color="0000FF"/>
          </w:rPr>
          <w:t>-</w:t>
        </w:r>
      </w:hyperlink>
      <w:hyperlink r:id="rId22">
        <w:r>
          <w:rPr>
            <w:rFonts w:ascii="Arial" w:eastAsia="Arial" w:hAnsi="Arial" w:cs="Arial"/>
            <w:color w:val="0000FF"/>
            <w:u w:val="single" w:color="0000FF"/>
          </w:rPr>
          <w:t>academy</w:t>
        </w:r>
      </w:hyperlink>
      <w:hyperlink r:id="rId23">
        <w:r>
          <w:rPr>
            <w:rFonts w:ascii="Arial" w:eastAsia="Arial" w:hAnsi="Arial" w:cs="Arial"/>
            <w:color w:val="0000FF"/>
            <w:u w:val="single" w:color="0000FF"/>
          </w:rPr>
          <w:t>-</w:t>
        </w:r>
      </w:hyperlink>
      <w:hyperlink r:id="rId24">
        <w:r>
          <w:rPr>
            <w:rFonts w:ascii="Arial" w:eastAsia="Arial" w:hAnsi="Arial" w:cs="Arial"/>
            <w:color w:val="0000FF"/>
            <w:u w:val="single" w:color="0000FF"/>
          </w:rPr>
          <w:t>trust?tab=primary</w:t>
        </w:r>
      </w:hyperlink>
      <w:hyperlink r:id="rId25">
        <w:r>
          <w:rPr>
            <w:rFonts w:ascii="Arial" w:eastAsia="Arial" w:hAnsi="Arial" w:cs="Arial"/>
          </w:rPr>
          <w:t xml:space="preserve"> </w:t>
        </w:r>
      </w:hyperlink>
    </w:p>
    <w:p w14:paraId="70FA651B" w14:textId="77777777" w:rsidR="005070AD" w:rsidRDefault="00ED529B">
      <w:pPr>
        <w:spacing w:after="259"/>
        <w:ind w:left="427"/>
      </w:pPr>
      <w:r>
        <w:rPr>
          <w:rFonts w:ascii="Arial" w:eastAsia="Arial" w:hAnsi="Arial" w:cs="Arial"/>
        </w:rPr>
        <w:t xml:space="preserve"> </w:t>
      </w:r>
    </w:p>
    <w:p w14:paraId="5105A449" w14:textId="77777777" w:rsidR="005070AD" w:rsidRDefault="00ED529B">
      <w:pPr>
        <w:spacing w:after="8062"/>
        <w:ind w:left="427"/>
      </w:pPr>
      <w:r>
        <w:rPr>
          <w:rFonts w:ascii="Arial" w:eastAsia="Arial" w:hAnsi="Arial" w:cs="Arial"/>
        </w:rPr>
        <w:t xml:space="preserve"> </w:t>
      </w:r>
    </w:p>
    <w:p w14:paraId="607C5883" w14:textId="77777777" w:rsidR="005070AD" w:rsidRDefault="00ED529B">
      <w:pPr>
        <w:spacing w:after="0"/>
        <w:ind w:left="427"/>
      </w:pPr>
      <w:r>
        <w:rPr>
          <w:rFonts w:ascii="Arial" w:eastAsia="Arial" w:hAnsi="Arial" w:cs="Arial"/>
          <w:b/>
          <w:sz w:val="16"/>
        </w:rPr>
        <w:lastRenderedPageBreak/>
        <w:t xml:space="preserve"> </w:t>
      </w:r>
    </w:p>
    <w:p w14:paraId="1D5C8B2F" w14:textId="77777777" w:rsidR="005070AD" w:rsidRDefault="00ED529B">
      <w:pPr>
        <w:spacing w:after="0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752A9479" w14:textId="38349FF0" w:rsidR="005070AD" w:rsidRDefault="00ED529B" w:rsidP="00CB5411">
      <w:pPr>
        <w:spacing w:after="29"/>
      </w:pPr>
      <w:r>
        <w:rPr>
          <w:rFonts w:ascii="Arial" w:eastAsia="Arial" w:hAnsi="Arial" w:cs="Arial"/>
          <w:b/>
          <w:sz w:val="12"/>
        </w:rPr>
        <w:t xml:space="preserve"> </w:t>
      </w:r>
    </w:p>
    <w:p w14:paraId="7D8EEB7A" w14:textId="77777777" w:rsidR="005070AD" w:rsidRDefault="00ED529B">
      <w:pPr>
        <w:spacing w:after="0"/>
        <w:ind w:left="4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EC9B88" w14:textId="77777777" w:rsidR="005070AD" w:rsidRDefault="00ED529B">
      <w:pPr>
        <w:spacing w:after="0"/>
        <w:ind w:left="4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17A61F" w14:textId="77777777" w:rsidR="005070AD" w:rsidRDefault="00ED529B">
      <w:pPr>
        <w:spacing w:after="0"/>
        <w:ind w:left="4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070AD">
      <w:pgSz w:w="11899" w:h="16838"/>
      <w:pgMar w:top="292" w:right="651" w:bottom="0" w:left="2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AD"/>
    <w:rsid w:val="00060185"/>
    <w:rsid w:val="005070AD"/>
    <w:rsid w:val="00603672"/>
    <w:rsid w:val="00630E0F"/>
    <w:rsid w:val="006C7604"/>
    <w:rsid w:val="00784655"/>
    <w:rsid w:val="00855A10"/>
    <w:rsid w:val="009822C7"/>
    <w:rsid w:val="009B286C"/>
    <w:rsid w:val="00A15AE5"/>
    <w:rsid w:val="00B11318"/>
    <w:rsid w:val="00B72B02"/>
    <w:rsid w:val="00CB5411"/>
    <w:rsid w:val="00D60478"/>
    <w:rsid w:val="00D60CE5"/>
    <w:rsid w:val="00E965E4"/>
    <w:rsid w:val="00ED529B"/>
    <w:rsid w:val="00F0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E8ED7"/>
  <w15:docId w15:val="{752D6087-FA22-4542-B325-CCC63BE9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37"/>
      <w:ind w:left="362"/>
      <w:jc w:val="center"/>
      <w:outlineLvl w:val="0"/>
    </w:pPr>
    <w:rPr>
      <w:rFonts w:ascii="Arial" w:eastAsia="Arial" w:hAnsi="Arial" w:cs="Arial"/>
      <w:b/>
      <w:color w:val="333333"/>
      <w:u w:val="single" w:color="333333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71" w:hanging="10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333333"/>
      <w:sz w:val="22"/>
      <w:u w:val="single" w:color="33333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3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are-school-performance.service.gov.uk/multi-academy-trust/2342/the-bishop-wheeler-catholic-academy-trust?tab=primary" TargetMode="External"/><Relationship Id="rId13" Type="http://schemas.openxmlformats.org/officeDocument/2006/relationships/hyperlink" Target="https://www.compare-school-performance.service.gov.uk/multi-academy-trust/2342/the-bishop-wheeler-catholic-academy-trust?tab=primary" TargetMode="External"/><Relationship Id="rId18" Type="http://schemas.openxmlformats.org/officeDocument/2006/relationships/hyperlink" Target="https://www.compare-school-performance.service.gov.uk/multi-academy-trust/2342/the-bishop-wheeler-catholic-academy-trust?tab=primary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compare-school-performance.service.gov.uk/multi-academy-trust/2342/the-bishop-wheeler-catholic-academy-trust?tab=primary" TargetMode="External"/><Relationship Id="rId7" Type="http://schemas.openxmlformats.org/officeDocument/2006/relationships/hyperlink" Target="https://www.compare-school-performance.service.gov.uk/multi-academy-trust/2342/the-bishop-wheeler-catholic-academy-trust?tab=primary" TargetMode="External"/><Relationship Id="rId12" Type="http://schemas.openxmlformats.org/officeDocument/2006/relationships/hyperlink" Target="https://www.compare-school-performance.service.gov.uk/multi-academy-trust/2342/the-bishop-wheeler-catholic-academy-trust?tab=primary" TargetMode="External"/><Relationship Id="rId17" Type="http://schemas.openxmlformats.org/officeDocument/2006/relationships/hyperlink" Target="https://www.compare-school-performance.service.gov.uk/multi-academy-trust/2342/the-bishop-wheeler-catholic-academy-trust?tab=primary" TargetMode="External"/><Relationship Id="rId25" Type="http://schemas.openxmlformats.org/officeDocument/2006/relationships/hyperlink" Target="https://www.compare-school-performance.service.gov.uk/multi-academy-trust/2342/the-bishop-wheeler-catholic-academy-trust?tab=primar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mpare-school-performance.service.gov.uk/multi-academy-trust/2342/the-bishop-wheeler-catholic-academy-trust?tab=primary" TargetMode="External"/><Relationship Id="rId20" Type="http://schemas.openxmlformats.org/officeDocument/2006/relationships/hyperlink" Target="https://www.compare-school-performance.service.gov.uk/multi-academy-trust/2342/the-bishop-wheeler-catholic-academy-trust?tab=primar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mpare-school-performance.service.gov.uk/multi-academy-trust/2342/the-bishop-wheeler-catholic-academy-trust?tab=primary" TargetMode="External"/><Relationship Id="rId11" Type="http://schemas.openxmlformats.org/officeDocument/2006/relationships/hyperlink" Target="https://www.compare-school-performance.service.gov.uk/multi-academy-trust/2342/the-bishop-wheeler-catholic-academy-trust?tab=primary" TargetMode="External"/><Relationship Id="rId24" Type="http://schemas.openxmlformats.org/officeDocument/2006/relationships/hyperlink" Target="https://www.compare-school-performance.service.gov.uk/multi-academy-trust/2342/the-bishop-wheeler-catholic-academy-trust?tab=primary" TargetMode="External"/><Relationship Id="rId5" Type="http://schemas.openxmlformats.org/officeDocument/2006/relationships/hyperlink" Target="https://www.compare-school-performance.service.gov.uk/multi-academy-trust/2342/the-bishop-wheeler-catholic-academy-trust?tab=primary" TargetMode="External"/><Relationship Id="rId15" Type="http://schemas.openxmlformats.org/officeDocument/2006/relationships/hyperlink" Target="https://www.compare-school-performance.service.gov.uk/multi-academy-trust/2342/the-bishop-wheeler-catholic-academy-trust?tab=primary" TargetMode="External"/><Relationship Id="rId23" Type="http://schemas.openxmlformats.org/officeDocument/2006/relationships/hyperlink" Target="https://www.compare-school-performance.service.gov.uk/multi-academy-trust/2342/the-bishop-wheeler-catholic-academy-trust?tab=primary" TargetMode="External"/><Relationship Id="rId10" Type="http://schemas.openxmlformats.org/officeDocument/2006/relationships/hyperlink" Target="https://www.compare-school-performance.service.gov.uk/multi-academy-trust/2342/the-bishop-wheeler-catholic-academy-trust?tab=primary" TargetMode="External"/><Relationship Id="rId19" Type="http://schemas.openxmlformats.org/officeDocument/2006/relationships/hyperlink" Target="https://www.compare-school-performance.service.gov.uk/multi-academy-trust/2342/the-bishop-wheeler-catholic-academy-trust?tab=primary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ompare-school-performance.service.gov.uk/multi-academy-trust/2342/the-bishop-wheeler-catholic-academy-trust?tab=primary" TargetMode="External"/><Relationship Id="rId14" Type="http://schemas.openxmlformats.org/officeDocument/2006/relationships/hyperlink" Target="https://www.compare-school-performance.service.gov.uk/multi-academy-trust/2342/the-bishop-wheeler-catholic-academy-trust?tab=primary" TargetMode="External"/><Relationship Id="rId22" Type="http://schemas.openxmlformats.org/officeDocument/2006/relationships/hyperlink" Target="https://www.compare-school-performance.service.gov.uk/multi-academy-trust/2342/the-bishop-wheeler-catholic-academy-trust?tab=primar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Baines</dc:creator>
  <cp:keywords/>
  <cp:lastModifiedBy>Marie Davies</cp:lastModifiedBy>
  <cp:revision>2</cp:revision>
  <cp:lastPrinted>2023-07-14T10:05:00Z</cp:lastPrinted>
  <dcterms:created xsi:type="dcterms:W3CDTF">2023-11-10T13:18:00Z</dcterms:created>
  <dcterms:modified xsi:type="dcterms:W3CDTF">2023-11-10T13:18:00Z</dcterms:modified>
</cp:coreProperties>
</file>